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32" w:rsidRDefault="00D54232" w:rsidP="00D5423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483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1931" cy="1105232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1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32" w:rsidRDefault="00D54232" w:rsidP="00D54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D54232" w:rsidRDefault="00D54232" w:rsidP="00D5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D54232" w:rsidRDefault="00D54232" w:rsidP="00D5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D54232" w:rsidRDefault="00D54232" w:rsidP="00D5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D54232" w:rsidRDefault="00D54232" w:rsidP="00D54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4232" w:rsidRDefault="00D54232" w:rsidP="00D542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D54232" w:rsidRDefault="00D54232" w:rsidP="00D542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232" w:rsidRPr="002E2EA9" w:rsidRDefault="00D54232" w:rsidP="00D54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C72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» марта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E2EA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1C72">
        <w:rPr>
          <w:rFonts w:ascii="Times New Roman" w:eastAsia="Times New Roman" w:hAnsi="Times New Roman" w:cs="Times New Roman"/>
          <w:sz w:val="28"/>
          <w:szCs w:val="28"/>
        </w:rPr>
        <w:t>56-204</w:t>
      </w:r>
    </w:p>
    <w:p w:rsidR="00D54232" w:rsidRDefault="00D54232" w:rsidP="00D542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232" w:rsidRDefault="00D54232" w:rsidP="00D5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администрации МО р.п.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</w:t>
      </w:r>
    </w:p>
    <w:p w:rsidR="00D54232" w:rsidRDefault="00D54232" w:rsidP="00D5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своей деятельности и деятельности администрации в 2021 году.</w:t>
      </w:r>
    </w:p>
    <w:p w:rsidR="00D54232" w:rsidRDefault="00D54232" w:rsidP="00D5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232" w:rsidRDefault="00D54232" w:rsidP="00D5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частью 11.1.статьи 35 Федерального закона от 6.10. 2003  №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Щекинского района, Собрание депутатов муниципального образования рабочий поселок  Первомайский, </w:t>
      </w:r>
    </w:p>
    <w:p w:rsidR="00D54232" w:rsidRDefault="00D54232" w:rsidP="00D5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D54232" w:rsidRPr="00831C72" w:rsidRDefault="00D54232" w:rsidP="00D5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Pr="00831C72">
        <w:rPr>
          <w:rFonts w:ascii="Times New Roman" w:eastAsia="Times New Roman" w:hAnsi="Times New Roman" w:cs="Times New Roman"/>
          <w:sz w:val="28"/>
          <w:szCs w:val="28"/>
        </w:rPr>
        <w:t xml:space="preserve">Отчет главы администрации МО р.п. </w:t>
      </w:r>
      <w:proofErr w:type="gramStart"/>
      <w:r w:rsidRPr="00831C72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31C7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в 2021  году, принять к сведению (приложение).</w:t>
      </w:r>
    </w:p>
    <w:p w:rsidR="00D54232" w:rsidRPr="00831C72" w:rsidRDefault="00D54232" w:rsidP="00D542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72">
        <w:rPr>
          <w:rFonts w:ascii="Times New Roman" w:eastAsia="Times New Roman" w:hAnsi="Times New Roman" w:cs="Times New Roman"/>
          <w:sz w:val="28"/>
          <w:szCs w:val="28"/>
        </w:rPr>
        <w:t xml:space="preserve">        2.  Признать работу главы администрации МО р.п. Первомайский о результатах своей деятельности в </w:t>
      </w:r>
      <w:r w:rsidR="00CF2877">
        <w:rPr>
          <w:rFonts w:ascii="Times New Roman" w:eastAsia="Times New Roman" w:hAnsi="Times New Roman" w:cs="Times New Roman"/>
          <w:sz w:val="28"/>
          <w:szCs w:val="28"/>
        </w:rPr>
        <w:t>2021  году – удовлетворительной</w:t>
      </w:r>
      <w:r w:rsidRPr="00831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232" w:rsidRPr="00831C72" w:rsidRDefault="00D54232" w:rsidP="00D5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72">
        <w:rPr>
          <w:rFonts w:ascii="Times New Roman" w:eastAsia="Times New Roman" w:hAnsi="Times New Roman" w:cs="Times New Roman"/>
          <w:sz w:val="28"/>
          <w:szCs w:val="28"/>
        </w:rPr>
        <w:t xml:space="preserve">       3.Признать работу и результаты деятельности администрации МО р.п. </w:t>
      </w:r>
      <w:proofErr w:type="gramStart"/>
      <w:r w:rsidRPr="00831C72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831C72">
        <w:rPr>
          <w:rFonts w:ascii="Times New Roman" w:eastAsia="Times New Roman" w:hAnsi="Times New Roman" w:cs="Times New Roman"/>
          <w:sz w:val="28"/>
          <w:szCs w:val="28"/>
        </w:rPr>
        <w:t xml:space="preserve"> в 2021  году – удовлетворительной.</w:t>
      </w:r>
    </w:p>
    <w:p w:rsidR="00D54232" w:rsidRPr="00831C72" w:rsidRDefault="00D54232" w:rsidP="00D54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72">
        <w:rPr>
          <w:rFonts w:ascii="Times New Roman" w:eastAsia="Times New Roman" w:hAnsi="Times New Roman" w:cs="Times New Roman"/>
          <w:sz w:val="28"/>
          <w:szCs w:val="28"/>
        </w:rPr>
        <w:t>4. Настоящее решение  подлежит  официальному опубликованию  в средствах массовой информации.</w:t>
      </w:r>
    </w:p>
    <w:p w:rsidR="00D54232" w:rsidRDefault="00D54232" w:rsidP="00D5423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подписания.</w:t>
      </w:r>
    </w:p>
    <w:p w:rsidR="00D54232" w:rsidRDefault="00D54232" w:rsidP="00D54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4232" w:rsidRDefault="00D54232" w:rsidP="00D54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4232" w:rsidRDefault="00D54232" w:rsidP="00D54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4232" w:rsidRPr="00404A86" w:rsidRDefault="00D54232" w:rsidP="00D542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A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54232" w:rsidRPr="00404A86" w:rsidRDefault="00D54232" w:rsidP="00D5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A8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D54232" w:rsidRDefault="00D54232" w:rsidP="00D5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A86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04A86">
        <w:rPr>
          <w:rFonts w:ascii="Times New Roman" w:eastAsia="Times New Roman" w:hAnsi="Times New Roman" w:cs="Times New Roman"/>
          <w:b/>
          <w:sz w:val="28"/>
          <w:szCs w:val="28"/>
        </w:rPr>
        <w:t xml:space="preserve">    М.А. Хакимов</w:t>
      </w:r>
    </w:p>
    <w:p w:rsidR="00B57B18" w:rsidRDefault="00B57B18" w:rsidP="00D5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18" w:rsidRDefault="00B57B18" w:rsidP="00D5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18" w:rsidRDefault="00B57B18" w:rsidP="00D5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18" w:rsidRDefault="00B57B18" w:rsidP="00D5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18" w:rsidRDefault="00B57B18" w:rsidP="00B5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Отчёт главы администрации МО р.п.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</w:t>
      </w:r>
    </w:p>
    <w:p w:rsidR="00B57B18" w:rsidRDefault="00B57B18" w:rsidP="00B5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своей деятельности и деятельности администрации в 2021 году.</w:t>
      </w:r>
    </w:p>
    <w:p w:rsidR="00B57B18" w:rsidRDefault="00B57B18" w:rsidP="00B57B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57B18">
        <w:rPr>
          <w:rFonts w:ascii="Times New Roman" w:eastAsia="Times New Roman" w:hAnsi="Times New Roman"/>
          <w:b/>
          <w:sz w:val="28"/>
          <w:szCs w:val="28"/>
        </w:rPr>
        <w:t xml:space="preserve">СЛАЙД 1: </w:t>
      </w:r>
    </w:p>
    <w:p w:rsidR="00B57B18" w:rsidRPr="00B57B18" w:rsidRDefault="00B57B18" w:rsidP="00B57B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57B18">
        <w:rPr>
          <w:rFonts w:ascii="Times New Roman" w:eastAsia="Times New Roman" w:hAnsi="Times New Roman"/>
          <w:b/>
          <w:sz w:val="28"/>
          <w:szCs w:val="28"/>
        </w:rPr>
        <w:t xml:space="preserve">СЛАЙД 2: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</w:rPr>
        <w:t>Наш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</w:rPr>
        <w:t xml:space="preserve">посёлок расположен 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в северо-восточной части Щекинского района и  граничит на юго-западе, западе, северо-западе с МО Яснополянское, на востоке - с МО </w:t>
      </w:r>
      <w:proofErr w:type="spell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Ломинцевское</w:t>
      </w:r>
      <w:proofErr w:type="spell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, на юге – с МО г. Щекино.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Территория МО р.п. Первомайский – на сегодняшний день составляет 1793,84 га (5,4% площади Тульской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</w:rPr>
        <w:t>и 11,5%</w:t>
      </w:r>
      <w:r w:rsidRPr="00B57B18">
        <w:rPr>
          <w:rFonts w:ascii="Times New Roman" w:eastAsia="Times New Roman" w:hAnsi="Times New Roman"/>
          <w:sz w:val="28"/>
          <w:szCs w:val="28"/>
        </w:rPr>
        <w:t xml:space="preserve"> площади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</w:rPr>
        <w:t>района</w:t>
      </w:r>
      <w:r w:rsidRPr="00B57B18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7B18">
        <w:rPr>
          <w:rFonts w:ascii="Times New Roman" w:eastAsia="Times New Roman" w:hAnsi="Times New Roman"/>
          <w:b/>
          <w:sz w:val="28"/>
          <w:szCs w:val="28"/>
        </w:rPr>
        <w:t xml:space="preserve">СЛАЙД 3: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По расчетным данным численность постоянного населения нашего муниципального образования составила: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на 01.01.2021 года - 8829 человек, из них: мужчин-3942(44,6%), женщин-4887 (55,4%).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Имеет место преобладание женского населения.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В течение последних лет сохраняется тенденция е</w:t>
      </w:r>
      <w:r w:rsidRPr="00B57B18">
        <w:rPr>
          <w:rFonts w:ascii="Times New Roman" w:hAnsi="Times New Roman"/>
          <w:sz w:val="28"/>
          <w:szCs w:val="28"/>
        </w:rPr>
        <w:t>жегодного снижения среднегодовой численности</w:t>
      </w:r>
      <w:r w:rsidRPr="00B57B18">
        <w:rPr>
          <w:rFonts w:ascii="Times New Roman" w:eastAsia="Times New Roman" w:hAnsi="Times New Roman"/>
          <w:sz w:val="28"/>
          <w:szCs w:val="28"/>
        </w:rPr>
        <w:t xml:space="preserve"> постоянного 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более чем на 100 человек.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7B1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СЛАЙД 4: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На территории поселка осуществляют свою деятельность 240 малых и средних предприятий, с численностью занятых 2670 человек, включая 154 ИП. При снижении за год числа малых и средних предприятий на 80, количество занятых в них увеличилось на 27 человек. Возросло на 7 и количество ИП.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По итогам наблюдения, оборот розничной торговли в 2021составил 460,9 </w:t>
      </w:r>
      <w:proofErr w:type="spellStart"/>
      <w:proofErr w:type="gramStart"/>
      <w:r w:rsidRPr="00B57B18">
        <w:rPr>
          <w:rFonts w:ascii="Times New Roman" w:eastAsia="Calibri" w:hAnsi="Times New Roman"/>
          <w:sz w:val="28"/>
          <w:szCs w:val="28"/>
        </w:rPr>
        <w:t>млн</w:t>
      </w:r>
      <w:proofErr w:type="spellEnd"/>
      <w:proofErr w:type="gramEnd"/>
      <w:r w:rsidRPr="00B57B18">
        <w:rPr>
          <w:rFonts w:ascii="Times New Roman" w:eastAsia="Calibri" w:hAnsi="Times New Roman"/>
          <w:sz w:val="28"/>
          <w:szCs w:val="28"/>
        </w:rPr>
        <w:t xml:space="preserve"> рублей, что, в действующих ценах, на 10,9% выше уровня 2020 года.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СЛАЙД 5: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Мы с вами прекрасно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понимаем, что социально-экономическое развитие поселка и наполняемость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обусловлены финансово-хозяйственной и инвестиционной деятельностью предприятий, работающих на территории.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например, поступление в бюджет около 82% земельного налога в отчетном году обеспечено градообразующим предприятием «</w:t>
      </w:r>
      <w:proofErr w:type="spellStart"/>
      <w:r w:rsidRPr="00B57B18">
        <w:rPr>
          <w:rFonts w:ascii="Times New Roman" w:hAnsi="Times New Roman"/>
          <w:sz w:val="28"/>
          <w:szCs w:val="28"/>
        </w:rPr>
        <w:t>Щекиноазот</w:t>
      </w:r>
      <w:proofErr w:type="spellEnd"/>
      <w:r w:rsidRPr="00B57B18">
        <w:rPr>
          <w:rFonts w:ascii="Times New Roman" w:hAnsi="Times New Roman"/>
          <w:sz w:val="28"/>
          <w:szCs w:val="28"/>
        </w:rPr>
        <w:t>» и его дочерними предприятиями.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Градообразующее предприятие активно осуществляет модернизацию действующих производств и создание новых, что позитивно отражается на производственных процессах, а также на развитии нашего посёлка.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За отчетный год на предприятии создано 54 рабочих места.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B18">
        <w:rPr>
          <w:rFonts w:ascii="Times New Roman" w:hAnsi="Times New Roman"/>
          <w:bCs/>
          <w:sz w:val="28"/>
          <w:szCs w:val="28"/>
        </w:rPr>
        <w:t>В настоящее время на Азоте ведется реализация следующих инвестиционных проектов:</w:t>
      </w:r>
    </w:p>
    <w:p w:rsidR="00B57B18" w:rsidRPr="00B57B18" w:rsidRDefault="00B57B18" w:rsidP="00B57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 строительство комплекса производств аммиака мощностью 525,0 тыс. тонн в год и карбамида мощностью 700,0 тыс. тонн в го</w:t>
      </w:r>
      <w:proofErr w:type="gramStart"/>
      <w:r w:rsidRPr="00B57B18">
        <w:rPr>
          <w:rFonts w:ascii="Times New Roman" w:hAnsi="Times New Roman"/>
          <w:sz w:val="28"/>
          <w:szCs w:val="28"/>
        </w:rPr>
        <w:t>д(</w:t>
      </w:r>
      <w:proofErr w:type="gramEnd"/>
      <w:r w:rsidRPr="00B57B18">
        <w:rPr>
          <w:rFonts w:ascii="Times New Roman" w:hAnsi="Times New Roman"/>
          <w:sz w:val="28"/>
          <w:szCs w:val="28"/>
        </w:rPr>
        <w:t>Амкар-700), срок реализации проекта 2019-2024 годы, будет создано 380 рабочих мест, инвестиции составят 40,2 млрд</w:t>
      </w:r>
      <w:r>
        <w:rPr>
          <w:rFonts w:ascii="Times New Roman" w:hAnsi="Times New Roman"/>
          <w:sz w:val="28"/>
          <w:szCs w:val="28"/>
        </w:rPr>
        <w:t>.</w:t>
      </w:r>
      <w:r w:rsidRPr="00B57B18">
        <w:rPr>
          <w:rFonts w:ascii="Times New Roman" w:hAnsi="Times New Roman"/>
          <w:sz w:val="28"/>
          <w:szCs w:val="28"/>
        </w:rPr>
        <w:t> рублей;</w:t>
      </w:r>
    </w:p>
    <w:p w:rsidR="00B57B18" w:rsidRPr="00B57B18" w:rsidRDefault="00B57B18" w:rsidP="00B57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lastRenderedPageBreak/>
        <w:t>- строительство установки по производству метанола мощностью 500,0 тыс. тонн в го</w:t>
      </w:r>
      <w:proofErr w:type="gramStart"/>
      <w:r w:rsidRPr="00B57B18">
        <w:rPr>
          <w:rFonts w:ascii="Times New Roman" w:hAnsi="Times New Roman"/>
          <w:sz w:val="28"/>
          <w:szCs w:val="28"/>
        </w:rPr>
        <w:t>д(</w:t>
      </w:r>
      <w:proofErr w:type="gramEnd"/>
      <w:r w:rsidRPr="00B57B18">
        <w:rPr>
          <w:rFonts w:ascii="Times New Roman" w:hAnsi="Times New Roman"/>
          <w:sz w:val="28"/>
          <w:szCs w:val="28"/>
        </w:rPr>
        <w:t>М-500), срок реализации проекта 2022 год, 140 рабочих мест, инвестиции 21,0 млрд</w:t>
      </w:r>
      <w:r>
        <w:rPr>
          <w:rFonts w:ascii="Times New Roman" w:hAnsi="Times New Roman"/>
          <w:sz w:val="28"/>
          <w:szCs w:val="28"/>
        </w:rPr>
        <w:t>.</w:t>
      </w:r>
      <w:r w:rsidRPr="00B57B18">
        <w:rPr>
          <w:rFonts w:ascii="Times New Roman" w:hAnsi="Times New Roman"/>
          <w:sz w:val="28"/>
          <w:szCs w:val="28"/>
        </w:rPr>
        <w:t xml:space="preserve"> рублей;</w:t>
      </w:r>
    </w:p>
    <w:p w:rsidR="00B57B18" w:rsidRPr="00B57B18" w:rsidRDefault="00B57B18" w:rsidP="00B57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 строительство комплекса производств азотной кислоты мощностью 270,0 тыс. тонн в год и аммиачной селитры мощностью 340,0 тыс. тонн в год, срок реализации проекта 2022 год, 200 рабочих мест, инвестиции</w:t>
      </w:r>
      <w:r w:rsidRPr="00B57B18">
        <w:rPr>
          <w:rFonts w:ascii="Times New Roman" w:hAnsi="Times New Roman"/>
          <w:sz w:val="28"/>
          <w:szCs w:val="28"/>
        </w:rPr>
        <w:br/>
        <w:t xml:space="preserve">6,6 </w:t>
      </w:r>
      <w:proofErr w:type="spellStart"/>
      <w:proofErr w:type="gramStart"/>
      <w:r w:rsidRPr="00B57B18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B57B18">
        <w:rPr>
          <w:rFonts w:ascii="Times New Roman" w:hAnsi="Times New Roman"/>
          <w:sz w:val="28"/>
          <w:szCs w:val="28"/>
        </w:rPr>
        <w:t xml:space="preserve"> рублей;</w:t>
      </w:r>
    </w:p>
    <w:p w:rsidR="00B57B18" w:rsidRPr="00B57B18" w:rsidRDefault="00B57B18" w:rsidP="00B57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 xml:space="preserve">- организация производства концентрированного </w:t>
      </w:r>
      <w:proofErr w:type="spellStart"/>
      <w:r w:rsidRPr="00B57B18">
        <w:rPr>
          <w:rFonts w:ascii="Times New Roman" w:hAnsi="Times New Roman"/>
          <w:sz w:val="28"/>
          <w:szCs w:val="28"/>
        </w:rPr>
        <w:t>малометанольного</w:t>
      </w:r>
      <w:proofErr w:type="spellEnd"/>
      <w:r w:rsidRPr="00B57B18">
        <w:rPr>
          <w:rFonts w:ascii="Times New Roman" w:hAnsi="Times New Roman"/>
          <w:sz w:val="28"/>
          <w:szCs w:val="28"/>
        </w:rPr>
        <w:t xml:space="preserve"> формалина мощностью 110 тыс. тонн в год, срок реализации проекта 2024 год, 46 рабочих мест, инвестиции 3,2 </w:t>
      </w:r>
      <w:proofErr w:type="spellStart"/>
      <w:proofErr w:type="gramStart"/>
      <w:r w:rsidRPr="00B57B18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B57B18">
        <w:rPr>
          <w:rFonts w:ascii="Times New Roman" w:hAnsi="Times New Roman"/>
          <w:sz w:val="28"/>
          <w:szCs w:val="28"/>
        </w:rPr>
        <w:t xml:space="preserve"> рублей;</w:t>
      </w:r>
    </w:p>
    <w:p w:rsidR="00B57B18" w:rsidRPr="00B57B18" w:rsidRDefault="00B57B18" w:rsidP="00B57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 организация производства нетканого материала по технологии «</w:t>
      </w:r>
      <w:proofErr w:type="spellStart"/>
      <w:r w:rsidRPr="00B57B18">
        <w:rPr>
          <w:rFonts w:ascii="Times New Roman" w:hAnsi="Times New Roman"/>
          <w:sz w:val="28"/>
          <w:szCs w:val="28"/>
        </w:rPr>
        <w:t>Спанбонд</w:t>
      </w:r>
      <w:proofErr w:type="spellEnd"/>
      <w:r w:rsidRPr="00B57B18">
        <w:rPr>
          <w:rFonts w:ascii="Times New Roman" w:hAnsi="Times New Roman"/>
          <w:i/>
          <w:sz w:val="28"/>
          <w:szCs w:val="28"/>
        </w:rPr>
        <w:t>» с использованием технологии «</w:t>
      </w:r>
      <w:proofErr w:type="spellStart"/>
      <w:r w:rsidRPr="00B57B18">
        <w:rPr>
          <w:rFonts w:ascii="Times New Roman" w:hAnsi="Times New Roman"/>
          <w:i/>
          <w:sz w:val="28"/>
          <w:szCs w:val="28"/>
        </w:rPr>
        <w:t>Мельтблаун</w:t>
      </w:r>
      <w:proofErr w:type="spellEnd"/>
      <w:r w:rsidRPr="00B57B18">
        <w:rPr>
          <w:rFonts w:ascii="Times New Roman" w:hAnsi="Times New Roman"/>
          <w:i/>
          <w:sz w:val="28"/>
          <w:szCs w:val="28"/>
        </w:rPr>
        <w:t>» (</w:t>
      </w:r>
      <w:proofErr w:type="spellStart"/>
      <w:r w:rsidRPr="00B57B18">
        <w:rPr>
          <w:rFonts w:ascii="Times New Roman" w:hAnsi="Times New Roman"/>
          <w:i/>
          <w:sz w:val="28"/>
          <w:szCs w:val="28"/>
        </w:rPr>
        <w:t>спанбонд</w:t>
      </w:r>
      <w:proofErr w:type="spellEnd"/>
      <w:r w:rsidRPr="00B57B18">
        <w:rPr>
          <w:rFonts w:ascii="Times New Roman" w:hAnsi="Times New Roman"/>
          <w:i/>
          <w:sz w:val="28"/>
          <w:szCs w:val="28"/>
        </w:rPr>
        <w:t>, SSMS)</w:t>
      </w:r>
      <w:r w:rsidRPr="00B57B18">
        <w:rPr>
          <w:rFonts w:ascii="Times New Roman" w:hAnsi="Times New Roman"/>
          <w:sz w:val="28"/>
          <w:szCs w:val="28"/>
        </w:rPr>
        <w:t xml:space="preserve"> мощностью 8 640 тонн в год, срок реализации проекта 2023 год, 49 рабочих мест, инвестиции 0,5 </w:t>
      </w:r>
      <w:proofErr w:type="spellStart"/>
      <w:proofErr w:type="gramStart"/>
      <w:r w:rsidRPr="00B57B18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B57B18">
        <w:rPr>
          <w:rFonts w:ascii="Times New Roman" w:hAnsi="Times New Roman"/>
          <w:sz w:val="28"/>
          <w:szCs w:val="28"/>
        </w:rPr>
        <w:t xml:space="preserve"> рублей.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СЛАЙД 6: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В 2021 году в бюджет муниципального образования поступило 152,1 млн. рублей.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Основными источниками доходов являются: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НДФЛ – 58,1 млн. рублей (38,2% от вех поступлений);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Земельный налог – 61,9 млн. рублей (40,7% от вех поступлений);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Арендная плата за пользованием земельными участками – 17,4 млн. рублей (11,4% от всех поступлений)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b/>
          <w:sz w:val="28"/>
          <w:szCs w:val="28"/>
        </w:rPr>
        <w:t xml:space="preserve">СЛАЙД 7: 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Расходная часть бюджета поселка за 2021 год составили 134,2 млн.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В структуре расходов бюджета, традиционно, превалируют Общегосударственные вопросы – в среднем 15,6% от общего объема расходов, Национальная экономика – 10,3%, Жилищно-коммунальное хозяйство – 45,7% и Культура – 22,4%.</w:t>
      </w:r>
    </w:p>
    <w:tbl>
      <w:tblPr>
        <w:tblW w:w="9386" w:type="dxa"/>
        <w:tblInd w:w="78" w:type="dxa"/>
        <w:tblLayout w:type="fixed"/>
        <w:tblLook w:val="0000"/>
      </w:tblPr>
      <w:tblGrid>
        <w:gridCol w:w="7005"/>
        <w:gridCol w:w="1260"/>
        <w:gridCol w:w="1121"/>
      </w:tblGrid>
      <w:tr w:rsidR="00B57B18" w:rsidRPr="00B57B18" w:rsidTr="00B57B18">
        <w:trPr>
          <w:cantSplit/>
          <w:trHeight w:val="522"/>
          <w:tblHeader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B18">
              <w:rPr>
                <w:rFonts w:ascii="Times New Roman" w:hAnsi="Times New Roman"/>
                <w:sz w:val="28"/>
                <w:szCs w:val="28"/>
              </w:rPr>
              <w:t>Исполнено 2021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B18">
              <w:rPr>
                <w:rFonts w:ascii="Times New Roman" w:hAnsi="Times New Roman"/>
                <w:sz w:val="28"/>
                <w:szCs w:val="28"/>
              </w:rPr>
              <w:t>Доля в общем объеме расходов</w:t>
            </w:r>
          </w:p>
        </w:tc>
      </w:tr>
      <w:tr w:rsidR="00B57B18" w:rsidRPr="00B57B18" w:rsidTr="00B57B18">
        <w:trPr>
          <w:trHeight w:val="311"/>
        </w:trPr>
        <w:tc>
          <w:tcPr>
            <w:tcW w:w="70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Расходы, всего,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134,2</w:t>
            </w:r>
          </w:p>
        </w:tc>
        <w:tc>
          <w:tcPr>
            <w:tcW w:w="11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100,00%</w:t>
            </w:r>
          </w:p>
        </w:tc>
      </w:tr>
      <w:tr w:rsidR="00B57B18" w:rsidRPr="00B57B18" w:rsidTr="00B57B18">
        <w:trPr>
          <w:trHeight w:val="204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B1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B18" w:rsidRPr="00B57B18" w:rsidTr="00B57B18">
        <w:trPr>
          <w:trHeight w:val="130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20,9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15,6%</w:t>
            </w:r>
          </w:p>
        </w:tc>
      </w:tr>
      <w:tr w:rsidR="00B57B18" w:rsidRPr="00B57B18" w:rsidTr="00B57B18">
        <w:trPr>
          <w:trHeight w:val="300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0,4%</w:t>
            </w:r>
          </w:p>
        </w:tc>
      </w:tr>
      <w:tr w:rsidR="00B57B18" w:rsidRPr="00B57B18" w:rsidTr="00B57B18">
        <w:trPr>
          <w:trHeight w:val="291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1,0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0,7%</w:t>
            </w:r>
          </w:p>
        </w:tc>
      </w:tr>
      <w:tr w:rsidR="00B57B18" w:rsidRPr="00B57B18" w:rsidTr="00B57B18">
        <w:trPr>
          <w:trHeight w:val="130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13,8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10,3%</w:t>
            </w:r>
          </w:p>
        </w:tc>
      </w:tr>
      <w:tr w:rsidR="00B57B18" w:rsidRPr="00B57B18" w:rsidTr="00B57B18">
        <w:trPr>
          <w:trHeight w:val="130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61,4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45,7%</w:t>
            </w:r>
          </w:p>
        </w:tc>
      </w:tr>
      <w:tr w:rsidR="00B57B18" w:rsidRPr="00B57B18" w:rsidTr="00B57B18">
        <w:trPr>
          <w:trHeight w:val="130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2,5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1,9%</w:t>
            </w:r>
          </w:p>
        </w:tc>
      </w:tr>
      <w:tr w:rsidR="00B57B18" w:rsidRPr="00B57B18" w:rsidTr="00B57B18">
        <w:trPr>
          <w:trHeight w:val="306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30,0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22,4%</w:t>
            </w:r>
          </w:p>
        </w:tc>
      </w:tr>
      <w:tr w:rsidR="00B57B18" w:rsidRPr="00B57B18" w:rsidTr="00B57B18">
        <w:trPr>
          <w:trHeight w:val="147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0,4%</w:t>
            </w:r>
          </w:p>
        </w:tc>
      </w:tr>
      <w:tr w:rsidR="00B57B18" w:rsidRPr="00B57B18" w:rsidTr="00B57B18">
        <w:trPr>
          <w:trHeight w:val="147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3,1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2,2%</w:t>
            </w:r>
          </w:p>
        </w:tc>
      </w:tr>
      <w:tr w:rsidR="00B57B18" w:rsidRPr="00B57B18" w:rsidTr="00B57B18">
        <w:trPr>
          <w:trHeight w:val="147"/>
        </w:trPr>
        <w:tc>
          <w:tcPr>
            <w:tcW w:w="7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B18" w:rsidRPr="00B57B18" w:rsidRDefault="00B57B18" w:rsidP="00B57B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B18">
              <w:rPr>
                <w:rFonts w:ascii="Times New Roman" w:hAnsi="Times New Roman"/>
                <w:i/>
                <w:sz w:val="28"/>
                <w:szCs w:val="28"/>
              </w:rPr>
              <w:t>0,4%</w:t>
            </w:r>
          </w:p>
        </w:tc>
      </w:tr>
    </w:tbl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8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Структура раздела Общегосударственные вопросы представлена на слайде: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- </w:t>
      </w:r>
      <w:r w:rsidRPr="00B57B18">
        <w:rPr>
          <w:rFonts w:ascii="Times New Roman" w:eastAsia="Calibri" w:hAnsi="Times New Roman"/>
          <w:i/>
          <w:sz w:val="28"/>
          <w:szCs w:val="28"/>
        </w:rPr>
        <w:t>Функционирование представительных органов муниципальных образований – 1,2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>- Функционирование местных администраций (включая межбюджетные трансферты) – 12,3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>- Обеспечение органов финансово-бюджетного надзора – 0,2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>- на "Совершенствование структуры собственности" – 5,8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>- на "Развитие и поддержание информационных систем " – 1,0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>- на "Развитие общественных организаций " – 0,1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>- на «Энергосбережение и повышение энергетической эффективности» - 0,03 млн. руб.;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>- на "Информирование населения о деятельности органов местного самоуправления " – 0,07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57B18">
        <w:rPr>
          <w:rFonts w:ascii="Times New Roman" w:eastAsia="Calibri" w:hAnsi="Times New Roman"/>
          <w:i/>
          <w:sz w:val="28"/>
          <w:szCs w:val="28"/>
        </w:rPr>
        <w:t xml:space="preserve">- предотвращение распространения новой </w:t>
      </w:r>
      <w:proofErr w:type="spellStart"/>
      <w:r w:rsidRPr="00B57B18">
        <w:rPr>
          <w:rFonts w:ascii="Times New Roman" w:eastAsia="Calibri" w:hAnsi="Times New Roman"/>
          <w:i/>
          <w:sz w:val="28"/>
          <w:szCs w:val="28"/>
        </w:rPr>
        <w:t>коронавирусной</w:t>
      </w:r>
      <w:proofErr w:type="spellEnd"/>
      <w:r w:rsidRPr="00B57B18">
        <w:rPr>
          <w:rFonts w:ascii="Times New Roman" w:eastAsia="Calibri" w:hAnsi="Times New Roman"/>
          <w:i/>
          <w:sz w:val="28"/>
          <w:szCs w:val="28"/>
        </w:rPr>
        <w:t xml:space="preserve"> инфекции – 0,2 млн. руб.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9: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 xml:space="preserve">В рамках </w:t>
      </w:r>
      <w:proofErr w:type="spellStart"/>
      <w:r w:rsidRPr="00B57B18">
        <w:rPr>
          <w:rFonts w:ascii="Times New Roman" w:eastAsia="Times New Roman" w:hAnsi="Times New Roman"/>
          <w:sz w:val="28"/>
          <w:szCs w:val="28"/>
        </w:rPr>
        <w:t>непрограммных</w:t>
      </w:r>
      <w:proofErr w:type="spellEnd"/>
      <w:r w:rsidRPr="00B57B18">
        <w:rPr>
          <w:rFonts w:ascii="Times New Roman" w:eastAsia="Times New Roman" w:hAnsi="Times New Roman"/>
          <w:sz w:val="28"/>
          <w:szCs w:val="28"/>
        </w:rPr>
        <w:t xml:space="preserve"> расходов, за счет средств федерального бюджета, ежегодно около 400тысяч рублей направляются на осуществление первичного воинского учета.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СЛАЙД10: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B57B18">
        <w:rPr>
          <w:rFonts w:ascii="Times New Roman" w:eastAsia="Calibri" w:hAnsi="Times New Roman"/>
          <w:sz w:val="28"/>
          <w:szCs w:val="28"/>
        </w:rPr>
        <w:t>В рамках муниципальной программы «Обеспечение защиты населения и территории от чрезвычайных ситуаций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»в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 xml:space="preserve"> отчетном году были проведены инженерно-геодезические и инженерно-геологические работы по обследованию карстового провала в СНТ стоимостью 293тысячи рублей, с последующим его устранением</w:t>
      </w:r>
      <w:r w:rsidR="00EA659C"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на сумму 333 тысячи.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11: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На реализацию муниципальной программы «Организация благоустройства территории» в 2021 году было выделено 61,4 млн. рублей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В рамках </w:t>
      </w:r>
      <w:r w:rsidRPr="00B57B18">
        <w:rPr>
          <w:rFonts w:ascii="Times New Roman" w:hAnsi="Times New Roman"/>
          <w:sz w:val="28"/>
          <w:szCs w:val="28"/>
        </w:rPr>
        <w:t>«Содержания автомобильных дорог общего пользования», проведены следующие работы: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lastRenderedPageBreak/>
        <w:t xml:space="preserve">- ямочный ремонт дорог </w:t>
      </w:r>
      <w:proofErr w:type="gramStart"/>
      <w:r w:rsidRPr="00B57B18">
        <w:rPr>
          <w:rFonts w:ascii="Times New Roman" w:hAnsi="Times New Roman"/>
          <w:sz w:val="28"/>
          <w:szCs w:val="28"/>
        </w:rPr>
        <w:t>–н</w:t>
      </w:r>
      <w:proofErr w:type="gramEnd"/>
      <w:r w:rsidRPr="00B57B18">
        <w:rPr>
          <w:rFonts w:ascii="Times New Roman" w:hAnsi="Times New Roman"/>
          <w:sz w:val="28"/>
          <w:szCs w:val="28"/>
        </w:rPr>
        <w:t>а  2,3 млн. руб.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 xml:space="preserve">- обустроен тротуар по ул. </w:t>
      </w:r>
      <w:proofErr w:type="gramStart"/>
      <w:r w:rsidRPr="00B57B18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B57B18">
        <w:rPr>
          <w:rFonts w:ascii="Times New Roman" w:hAnsi="Times New Roman"/>
          <w:sz w:val="28"/>
          <w:szCs w:val="28"/>
        </w:rPr>
        <w:t xml:space="preserve"> – на 700тысяч руб.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12</w:t>
      </w:r>
    </w:p>
    <w:p w:rsid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 xml:space="preserve">- заключен муниципальный контракт на капитальный ремонт ул. </w:t>
      </w:r>
      <w:proofErr w:type="gramStart"/>
      <w:r w:rsidRPr="00B57B18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B57B18">
        <w:rPr>
          <w:rFonts w:ascii="Times New Roman" w:hAnsi="Times New Roman"/>
          <w:sz w:val="28"/>
          <w:szCs w:val="28"/>
        </w:rPr>
        <w:t xml:space="preserve"> на общую сумму 34,9 млн. рублей. Завершение работ и их оплата планируется в весенний период текущего года;</w:t>
      </w:r>
    </w:p>
    <w:p w:rsid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13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-</w:t>
      </w:r>
      <w:r w:rsidRPr="00B57B18">
        <w:rPr>
          <w:rFonts w:ascii="Times New Roman" w:hAnsi="Times New Roman"/>
          <w:sz w:val="28"/>
          <w:szCs w:val="28"/>
        </w:rPr>
        <w:t xml:space="preserve"> содержание объектов дорожной инфраструктуры (в том числе установка новых светофорных объектов) обошлась бюджету в 2,3 млн. руб.;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14</w:t>
      </w:r>
    </w:p>
    <w:p w:rsid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 механизированная уборка территории поселка–в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6,2 млн. руб.</w:t>
      </w:r>
    </w:p>
    <w:p w:rsid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15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 xml:space="preserve">По программе «Формирование современной городской среды» было отремонтировано </w:t>
      </w:r>
      <w:proofErr w:type="spellStart"/>
      <w:r w:rsidRPr="00B57B18">
        <w:rPr>
          <w:rFonts w:ascii="Times New Roman" w:hAnsi="Times New Roman"/>
          <w:sz w:val="28"/>
          <w:szCs w:val="28"/>
        </w:rPr>
        <w:t>асфальтобетоннео</w:t>
      </w:r>
      <w:proofErr w:type="spellEnd"/>
      <w:r w:rsidRPr="00B57B18">
        <w:rPr>
          <w:rFonts w:ascii="Times New Roman" w:hAnsi="Times New Roman"/>
          <w:sz w:val="28"/>
          <w:szCs w:val="28"/>
        </w:rPr>
        <w:t xml:space="preserve"> покрытие дворовых проездов по адресу: ул. Октябрьская </w:t>
      </w:r>
      <w:r w:rsidRPr="00B57B18">
        <w:rPr>
          <w:rFonts w:ascii="Times New Roman" w:hAnsi="Times New Roman"/>
          <w:i/>
          <w:sz w:val="28"/>
          <w:szCs w:val="28"/>
        </w:rPr>
        <w:t xml:space="preserve">д.17, 19, 21, 23, 23А, ул. Октябрьская д.25; </w:t>
      </w:r>
      <w:proofErr w:type="spellStart"/>
      <w:r w:rsidRPr="00B57B18">
        <w:rPr>
          <w:rFonts w:ascii="Times New Roman" w:hAnsi="Times New Roman"/>
          <w:i/>
          <w:sz w:val="28"/>
          <w:szCs w:val="28"/>
        </w:rPr>
        <w:t>пр-т</w:t>
      </w:r>
      <w:proofErr w:type="spellEnd"/>
      <w:r w:rsidR="00EA659C">
        <w:rPr>
          <w:rFonts w:ascii="Times New Roman" w:hAnsi="Times New Roman"/>
          <w:i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 xml:space="preserve">Улитина </w:t>
      </w:r>
      <w:r w:rsidRPr="00B57B18">
        <w:rPr>
          <w:rFonts w:ascii="Times New Roman" w:hAnsi="Times New Roman"/>
          <w:i/>
          <w:sz w:val="28"/>
          <w:szCs w:val="28"/>
        </w:rPr>
        <w:t>8, 25А</w:t>
      </w:r>
      <w:r w:rsidRPr="00B57B18">
        <w:rPr>
          <w:rFonts w:ascii="Times New Roman" w:hAnsi="Times New Roman"/>
          <w:sz w:val="28"/>
          <w:szCs w:val="28"/>
        </w:rPr>
        <w:t xml:space="preserve"> (на общую сумму 2млн.860 тыс</w:t>
      </w:r>
      <w:proofErr w:type="gramStart"/>
      <w:r w:rsidRPr="00B57B18">
        <w:rPr>
          <w:rFonts w:ascii="Times New Roman" w:hAnsi="Times New Roman"/>
          <w:sz w:val="28"/>
          <w:szCs w:val="28"/>
        </w:rPr>
        <w:t>.р</w:t>
      </w:r>
      <w:proofErr w:type="gramEnd"/>
      <w:r w:rsidRPr="00B57B18">
        <w:rPr>
          <w:rFonts w:ascii="Times New Roman" w:hAnsi="Times New Roman"/>
          <w:sz w:val="28"/>
          <w:szCs w:val="28"/>
        </w:rPr>
        <w:t>уб., из которых средства федерального бюджета-2,7млн.руб., бюджет ТО – 110 тысяч, средства МО и жителей – 60тысяч руб. )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16: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В рамках реализации этой же программы продолжены работы по устройству берегозащитной шпунтованной стены на южной стороне пруда на сумму 4,2 млн. руб.,</w:t>
      </w:r>
      <w:r w:rsidR="00EA659C"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sz w:val="28"/>
          <w:szCs w:val="28"/>
        </w:rPr>
        <w:t>из которых 4млн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.-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>средства федерации;163тысячи-области и 84-бюджета поселка.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17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За счет средств местного бюджета (а это сумма более 22 млн. рублей) проведены работы 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>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частичному мощению тротуарной плиткой дорожек парковой зоны.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sz w:val="28"/>
          <w:szCs w:val="28"/>
        </w:rPr>
        <w:t>Работы будут продолжены в этом году;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благоустройству и ремонту зоны отдыха возле пруд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а</w:t>
      </w:r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proofErr w:type="gramEnd"/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ремонт штукатурки подпорных стен, замена канатов ограждения пирса);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18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окраске</w:t>
      </w:r>
      <w:r w:rsidR="00EA659C"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sz w:val="28"/>
          <w:szCs w:val="28"/>
        </w:rPr>
        <w:t>лавочек и ограждения парка;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завозу песк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а(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>на пляжную зону</w:t>
      </w:r>
      <w:r w:rsidR="00EA659C"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sz w:val="28"/>
          <w:szCs w:val="28"/>
        </w:rPr>
        <w:t>и в песочницы детских площадок);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- замене скамеек и урн в парковой зоне;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19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озеленению поселка (въезд поселка, ул. Пролетарская, парк, площадь, центральные улицы);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lastRenderedPageBreak/>
        <w:t>СЛАЙД 20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спиливанию аварийных деревьев;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21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-разработке проекта благоустройства стадиона;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22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- усилению навеса от солнца на пляжной территории 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>406тыс. руб.);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23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- ремонту резинового покрытия детской площадки (469,8тысячи);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24</w:t>
      </w:r>
    </w:p>
    <w:p w:rsidR="00B57B18" w:rsidRDefault="00B57B18" w:rsidP="00B57B18">
      <w:pPr>
        <w:spacing w:after="0" w:line="240" w:lineRule="auto"/>
        <w:ind w:firstLine="1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B18">
        <w:rPr>
          <w:rFonts w:ascii="Times New Roman" w:eastAsia="Calibri" w:hAnsi="Times New Roman"/>
          <w:sz w:val="28"/>
          <w:szCs w:val="28"/>
        </w:rPr>
        <w:t>- установке стационарного общественного туалета в парковой зоне.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Закуплен туалет был за счет средств Совета муниципальных образований Тульской области, а установлен за средства местного бюджета.</w:t>
      </w:r>
    </w:p>
    <w:p w:rsidR="00B57B18" w:rsidRDefault="00B57B18" w:rsidP="00B57B18">
      <w:pPr>
        <w:spacing w:after="0" w:line="240" w:lineRule="auto"/>
        <w:ind w:firstLine="1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57B18" w:rsidRPr="00B57B18" w:rsidRDefault="00B57B18" w:rsidP="00B57B18">
      <w:pPr>
        <w:spacing w:after="0" w:line="240" w:lineRule="auto"/>
        <w:ind w:firstLine="108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25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Оплата электроэнергии уличного освещения обошлась бюджету в сумму 6,2млн</w:t>
      </w:r>
      <w:proofErr w:type="gramStart"/>
      <w:r w:rsidRPr="00B57B1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B57B1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уб., а его оперативно диспетчерское обслуживание в 1,9 млн. руб.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B57B1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Благодаря спонсорской помощи градообразующего предприятия в отчетном году были заменены на светодиодные 1149 светильников уличного освещения, что в свою очередь, значительно повысило безопасность и удобство жителей и гостей поселка, а также существенно снизило затраты на потребление электроэнергии.</w:t>
      </w:r>
      <w:proofErr w:type="gramEnd"/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26: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Нами ведется постоянная плановая работа над обеспечением безопасности. Общественные пространства и центральные улицы поселка находятся под круглосуточной охраной не только непосредственно охранниками,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sz w:val="28"/>
          <w:szCs w:val="28"/>
        </w:rPr>
        <w:t>но и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sz w:val="28"/>
          <w:szCs w:val="28"/>
        </w:rPr>
        <w:t xml:space="preserve">применением системы видеонаблюдения. На сегодня за порядком следят </w:t>
      </w:r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66</w:t>
      </w:r>
      <w:r w:rsidRPr="00B57B18">
        <w:rPr>
          <w:rFonts w:ascii="Times New Roman" w:eastAsia="Calibri" w:hAnsi="Times New Roman"/>
          <w:sz w:val="28"/>
          <w:szCs w:val="28"/>
        </w:rPr>
        <w:t xml:space="preserve">камер, информация с которых отслеживается и хранится в администрации, а также предоставляется органам внутренних дел. </w:t>
      </w:r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За отчетный год было установлено 25 камер на сумму2,2 млн</w:t>
      </w:r>
      <w:proofErr w:type="gramStart"/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.р</w:t>
      </w:r>
      <w:proofErr w:type="gramEnd"/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уб.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</w:t>
      </w:r>
      <w:r w:rsidR="00EA659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b/>
          <w:sz w:val="28"/>
          <w:szCs w:val="28"/>
        </w:rPr>
        <w:t>27: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В отчетном году был решен вопрос расчистки акватории пруда путем проведения конкурса (на условиях </w:t>
      </w:r>
      <w:proofErr w:type="spellStart"/>
      <w:r w:rsidRPr="00B57B18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B57B18">
        <w:rPr>
          <w:rFonts w:ascii="Times New Roman" w:eastAsia="Calibri" w:hAnsi="Times New Roman"/>
          <w:sz w:val="28"/>
          <w:szCs w:val="28"/>
        </w:rPr>
        <w:t>) по предоставлению грантов на благоустройство территории. По итогам рассмотрения заявок, победителем конкурса признана общественная организация "Яснополянское соглашение". На реализацию проекта затрачено 500тысяч. руб. из местного бюджета и 1,0 млн. руб. средств победителя.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28: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lastRenderedPageBreak/>
        <w:t>Оживить и подсветить деревья на территории северного берега пруда стало возможным путем заключения контракта на монтаж световой подсветки на сумму 1,8 млн. руб.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29:</w:t>
      </w:r>
    </w:p>
    <w:p w:rsidR="00B57B18" w:rsidRPr="00B57B18" w:rsidRDefault="00B57B18" w:rsidP="00B57B18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Уборка несанкционированных свалок на территории муниципального образования обошлась бюджету в 1,3 млн. рублей</w:t>
      </w:r>
      <w:r w:rsidRPr="00B57B18"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СЛАЙД 30: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По программе «Улучшение жилищных условий граждан» в отчетном году переселены 4 семьи из аварийного дома №3 по ул. Административная (к переселению из него осталась 1 квартира).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Расселенный ранее дом №2 по ул. </w:t>
      </w:r>
      <w:proofErr w:type="gram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Административная</w:t>
      </w:r>
      <w:proofErr w:type="gram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 снесён.</w:t>
      </w:r>
    </w:p>
    <w:p w:rsid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В рамках данной программы разработан Прое</w:t>
      </w:r>
      <w:proofErr w:type="gram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кт стр</w:t>
      </w:r>
      <w:proofErr w:type="gram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оительства блочно-модульной котельной для дома №3 по ул. Пролетарская </w:t>
      </w: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на сумму 641тысяча руб. 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Решение о дальнейшей реализации данного проекта будет принято в текущем году.</w:t>
      </w:r>
    </w:p>
    <w:p w:rsid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31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Значительные работы проведены в части реализации краткосрочной программы капитального ремонта общего имущества в многоквартирных домах. В отчетном году проведены работы по ремонту внутридомовых инженерных систем в 28 МКД, отремонтированы фасады трех домов по ул. Октябрьская</w:t>
      </w:r>
      <w:r w:rsidRPr="00B57B18">
        <w:rPr>
          <w:rFonts w:ascii="Times New Roman" w:eastAsia="Times New Roman" w:hAnsi="Times New Roman"/>
          <w:i/>
          <w:sz w:val="28"/>
          <w:szCs w:val="28"/>
          <w:lang w:eastAsia="ar-SA"/>
        </w:rPr>
        <w:t>, дома №6,8,9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,  а также выполнен капитальный ремонт кровли многоквартирного дома №15 по ул. Стадионная.</w:t>
      </w:r>
    </w:p>
    <w:p w:rsid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Продолжается работа по выявлению и постановке на учет бесхозяйных объектов коммунальной инфраструктуры. Так, за отчетный период было выявлено три бесхозяйных линии водоотведения: коллектор от МКД №17 по ул. Л.Толстого, коллектор от д.43 по ул. </w:t>
      </w:r>
      <w:proofErr w:type="gram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Комсомольская</w:t>
      </w:r>
      <w:proofErr w:type="gram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, участок канализации по ул. Первомайский проезд. В настоящее время готовится техническая документация на эти объекты.</w:t>
      </w:r>
    </w:p>
    <w:p w:rsid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b/>
          <w:sz w:val="28"/>
          <w:szCs w:val="28"/>
        </w:rPr>
        <w:t xml:space="preserve">32: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О культуре. С работой на территории «Дома культуры «Химик» культурная жизнь нашего посёлка стала разнообразнее и интересней. 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Работа силами сотрудников ДК «Химик» ведется большая.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Время ограничений проведения публичных мероприятий позволило расширить работу ДК на просторах интернета (анонсирование мероприятий в </w:t>
      </w:r>
      <w:proofErr w:type="spell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соцсетях</w:t>
      </w:r>
      <w:proofErr w:type="spell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онлайн</w:t>
      </w:r>
      <w:proofErr w:type="spell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 мастер-классы, презентация деятельности коллективов, трансляция тематических видеороликов, приуроченных к знаменательным датам).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Помимо этого, проводились и очные мероприятия.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Это и торжественный Митинг памяти, Фронтовой привал и праздничный концерт на 9Мая</w:t>
      </w:r>
      <w:proofErr w:type="gram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.А</w:t>
      </w:r>
      <w:proofErr w:type="gram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 также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праздничная программа для детей «Сентябрь начинается с чудес», к 1 сентября.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Программа для людей серебряного возраста «За все тебя благодарю…», праздничный концерт ко Дню Матер</w:t>
      </w:r>
      <w:proofErr w:type="gram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и-</w:t>
      </w:r>
      <w:proofErr w:type="gram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 «Пусть всегда будет МАМА!»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Выборам-2021 в мае  был посвящен молодежный форум  «День молодого избирателя». В день проведения выборов на избирательных участках состоялись концерты «Вперед, Россия!».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Ко Дню Тульской области в Первомайском Доме-интернате для престарелых и инвалидов был организован благотворительный концерт.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На малой сцене ДК «Химик» в течение отчетного периода проходили следующие мероприятия:</w:t>
      </w:r>
    </w:p>
    <w:p w:rsidR="00B57B18" w:rsidRPr="00B57B18" w:rsidRDefault="00B57B18" w:rsidP="00B57B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-показан спектакль «Окраина Земли»;</w:t>
      </w:r>
    </w:p>
    <w:p w:rsidR="00B57B18" w:rsidRPr="00B57B18" w:rsidRDefault="00B57B18" w:rsidP="00B57B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-вечер-посвящение «Как это было…» (ко Дню празднования 80-й годовщины Обороны города Тулы в ВОВ);</w:t>
      </w:r>
    </w:p>
    <w:p w:rsidR="00B57B18" w:rsidRPr="00B57B18" w:rsidRDefault="00B57B18" w:rsidP="00B57B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-программа ко Дню инвалидов «День добрых сердец» (проект Тульское долголетие).</w:t>
      </w:r>
    </w:p>
    <w:p w:rsidR="00B57B18" w:rsidRPr="00B57B18" w:rsidRDefault="00B57B18" w:rsidP="00B57B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К 80-й годовщине Обороны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города Тулы в ВОВ и 45-летию присвоения Туле Почетного звания «Город-Герой» был показан фильм «Оборона Тулы».</w:t>
      </w:r>
    </w:p>
    <w:p w:rsidR="00B57B18" w:rsidRPr="00B57B18" w:rsidRDefault="00B57B18" w:rsidP="00B57B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В декабре месяце состоялось открытие главной елки посёлка «Цвет </w:t>
      </w:r>
      <w:proofErr w:type="spellStart"/>
      <w:proofErr w:type="gram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настроения-Елка</w:t>
      </w:r>
      <w:proofErr w:type="spellEnd"/>
      <w:proofErr w:type="gram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!». А для детей показаны новогодние спектакли, организованы Детские новогодние Эдемы.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На протяжении летнего сезона на сценической площадке в лесопарковой зоне   были проведены: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- праздник, посвященный международному Дню соседей – «Где без стука ходят в гости», 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-развлекательная программа ко Дню защиты детей «День защиты детей от плохого настроения»,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- концерт-поздравление ко Дню России «Россия – это навсегда!», 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-праздник ко Дню молодежи «Даешь молодежь!»,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- театральный вечер (пьеса «Визит молодой дамы»).</w:t>
      </w: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Сотрудники ДК делали и делают все возможное для создания позитивного настроя жителей.</w:t>
      </w:r>
    </w:p>
    <w:p w:rsid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Из бюджета муниципального образования за 2021 год на содержание ДК и выполнение муниципального задания потрачено13,00 млн. рублей.</w:t>
      </w:r>
    </w:p>
    <w:p w:rsidR="00B57B18" w:rsidRDefault="00B57B18" w:rsidP="00B57B1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B57B18" w:rsidRPr="00B57B18" w:rsidRDefault="00B57B18" w:rsidP="00B57B18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 xml:space="preserve">СЛАЙД33: 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В 2021 году МКУК «ППБ» вошла в национальный проект «Культура» - «Модельная библиотека», предусматривающий федеральное финансирование в размере 5,0 млн. рублей. Для реализации средств проекта, которые предполагалось потратить на «внутреннюю» начинку и оснащени</w:t>
      </w:r>
      <w:proofErr w:type="gramStart"/>
      <w:r w:rsidRPr="00B57B18">
        <w:rPr>
          <w:rFonts w:ascii="Times New Roman" w:eastAsia="Times New Roman" w:hAnsi="Times New Roman"/>
          <w:sz w:val="28"/>
          <w:szCs w:val="28"/>
        </w:rPr>
        <w:t>е(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>мебель, книги, игровое оборудование, компьютерную технику)</w:t>
      </w:r>
      <w:r w:rsidRPr="00B57B18">
        <w:rPr>
          <w:rFonts w:ascii="Times New Roman" w:eastAsia="Times New Roman" w:hAnsi="Times New Roman"/>
          <w:sz w:val="28"/>
          <w:szCs w:val="28"/>
        </w:rPr>
        <w:t xml:space="preserve"> необходимо было проведение работ капитального характера, т.к. </w:t>
      </w: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</w:rPr>
        <w:t>здание, 1958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</w:rPr>
        <w:t>постройки, нуждалось в значительном внешнем и внутреннем преобразовании.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34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 xml:space="preserve">Ремонт фасада, входной группы, инженерных коммуникаций, внутренней отделки, а также прилегающей территории осуществлялся за счет средств </w:t>
      </w:r>
      <w:r w:rsidRPr="00B57B18">
        <w:rPr>
          <w:rFonts w:ascii="Times New Roman" w:eastAsia="Times New Roman" w:hAnsi="Times New Roman"/>
          <w:sz w:val="28"/>
          <w:szCs w:val="28"/>
        </w:rPr>
        <w:lastRenderedPageBreak/>
        <w:t>бюджета МО р.п</w:t>
      </w:r>
      <w:proofErr w:type="gramStart"/>
      <w:r w:rsidRPr="00B57B18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B57B18">
        <w:rPr>
          <w:rFonts w:ascii="Times New Roman" w:eastAsia="Times New Roman" w:hAnsi="Times New Roman"/>
          <w:sz w:val="28"/>
          <w:szCs w:val="28"/>
        </w:rPr>
        <w:t xml:space="preserve">ервомайский (затрачено </w:t>
      </w:r>
      <w:r w:rsidRPr="00B57B18">
        <w:rPr>
          <w:rFonts w:ascii="Times New Roman" w:eastAsia="Times New Roman" w:hAnsi="Times New Roman"/>
          <w:color w:val="000000" w:themeColor="text1"/>
          <w:sz w:val="28"/>
          <w:szCs w:val="28"/>
        </w:rPr>
        <w:t>7,5</w:t>
      </w:r>
      <w:r w:rsidRPr="00B57B18">
        <w:rPr>
          <w:rFonts w:ascii="Times New Roman" w:eastAsia="Times New Roman" w:hAnsi="Times New Roman"/>
          <w:sz w:val="28"/>
          <w:szCs w:val="28"/>
        </w:rPr>
        <w:t>млн.руб.). Из регионального бюджета Тульской области было выделено</w:t>
      </w:r>
      <w:proofErr w:type="gramStart"/>
      <w:r w:rsidRPr="00B57B18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B57B18">
        <w:rPr>
          <w:rFonts w:ascii="Times New Roman" w:eastAsia="Times New Roman" w:hAnsi="Times New Roman"/>
          <w:sz w:val="28"/>
          <w:szCs w:val="28"/>
        </w:rPr>
        <w:t>,7млн.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35</w:t>
      </w:r>
      <w:proofErr w:type="gramStart"/>
      <w:r w:rsidRPr="00B57B18">
        <w:rPr>
          <w:rFonts w:ascii="Times New Roman" w:eastAsia="Calibri" w:hAnsi="Times New Roman"/>
          <w:b/>
          <w:sz w:val="28"/>
          <w:szCs w:val="28"/>
        </w:rPr>
        <w:t xml:space="preserve"> :</w:t>
      </w:r>
      <w:proofErr w:type="gramEnd"/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hAnsi="Times New Roman"/>
          <w:color w:val="333333"/>
          <w:sz w:val="28"/>
          <w:szCs w:val="28"/>
        </w:rPr>
        <w:t>Дизайн-проект модельной библиотеки был разработан архитектурной мастерской «Хороший город».</w:t>
      </w:r>
    </w:p>
    <w:p w:rsidR="00B57B18" w:rsidRPr="00B57B18" w:rsidRDefault="00B57B18" w:rsidP="00B57B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7B18">
        <w:rPr>
          <w:color w:val="333333"/>
          <w:sz w:val="28"/>
          <w:szCs w:val="28"/>
        </w:rPr>
        <w:t xml:space="preserve">В результате всех работ библиотека полностью преобразилась, увеличилась полезная площадь, установлено </w:t>
      </w:r>
      <w:r w:rsidRPr="00B57B18">
        <w:rPr>
          <w:sz w:val="28"/>
          <w:szCs w:val="28"/>
        </w:rPr>
        <w:t>интерактивное оборудование</w:t>
      </w:r>
      <w:r w:rsidRPr="00B57B18">
        <w:rPr>
          <w:color w:val="333333"/>
          <w:sz w:val="28"/>
          <w:szCs w:val="28"/>
        </w:rPr>
        <w:t>, появилась зона общественного пространства, где планируется проведение лекций, презентаций, мастер-классов.</w:t>
      </w:r>
    </w:p>
    <w:p w:rsidR="00B57B18" w:rsidRPr="00B57B18" w:rsidRDefault="00B57B18" w:rsidP="00B57B1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7B18">
        <w:rPr>
          <w:color w:val="333333"/>
          <w:sz w:val="28"/>
          <w:szCs w:val="28"/>
        </w:rPr>
        <w:t xml:space="preserve"> В зоне для дошкольников есть все необходимое для полезного досуга: конструкторы, </w:t>
      </w:r>
      <w:proofErr w:type="spellStart"/>
      <w:r w:rsidRPr="00B57B18">
        <w:rPr>
          <w:color w:val="333333"/>
          <w:sz w:val="28"/>
          <w:szCs w:val="28"/>
        </w:rPr>
        <w:t>пазлы</w:t>
      </w:r>
      <w:proofErr w:type="spellEnd"/>
      <w:r w:rsidRPr="00B57B18">
        <w:rPr>
          <w:color w:val="333333"/>
          <w:sz w:val="28"/>
          <w:szCs w:val="28"/>
        </w:rPr>
        <w:t>, мягкие кубики с буквами, развивающие игры, стол для рисования песком. Старших детей ждут книги в открытом доступе, которые они могут читать</w:t>
      </w:r>
      <w:r>
        <w:rPr>
          <w:color w:val="333333"/>
          <w:sz w:val="28"/>
          <w:szCs w:val="28"/>
        </w:rPr>
        <w:t xml:space="preserve"> </w:t>
      </w:r>
      <w:r w:rsidRPr="00B57B18">
        <w:rPr>
          <w:color w:val="333333"/>
          <w:sz w:val="28"/>
          <w:szCs w:val="28"/>
        </w:rPr>
        <w:t>сидя на удобных пуфах подиума.</w:t>
      </w:r>
    </w:p>
    <w:p w:rsidR="00B57B18" w:rsidRPr="00B57B18" w:rsidRDefault="00B57B18" w:rsidP="00B57B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7B18">
        <w:rPr>
          <w:color w:val="333333"/>
          <w:sz w:val="28"/>
          <w:szCs w:val="28"/>
        </w:rPr>
        <w:t xml:space="preserve">Школьники могут использовать компьютеры с выходом в Интернет и профессиональным программным обеспечением. Для читателей с ограниченными возможностями здоровья сделан остекленный тамбур, устроены пандусы с </w:t>
      </w:r>
      <w:proofErr w:type="spellStart"/>
      <w:r w:rsidRPr="00B57B18">
        <w:rPr>
          <w:color w:val="333333"/>
          <w:sz w:val="28"/>
          <w:szCs w:val="28"/>
        </w:rPr>
        <w:t>антискользящим</w:t>
      </w:r>
      <w:proofErr w:type="spellEnd"/>
      <w:r w:rsidRPr="00B57B18">
        <w:rPr>
          <w:color w:val="333333"/>
          <w:sz w:val="28"/>
          <w:szCs w:val="28"/>
        </w:rPr>
        <w:t xml:space="preserve"> покрытием. </w:t>
      </w:r>
    </w:p>
    <w:p w:rsidR="00B57B18" w:rsidRPr="00B57B18" w:rsidRDefault="00B57B18" w:rsidP="00B57B1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7B18">
        <w:rPr>
          <w:color w:val="333333"/>
          <w:sz w:val="28"/>
          <w:szCs w:val="28"/>
        </w:rPr>
        <w:t>Теперь в библиотеку можно войти даже с детской коляской.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Наша модельная библиотека стала первой в районе.</w:t>
      </w:r>
      <w:r w:rsidRPr="00B57B18">
        <w:rPr>
          <w:rFonts w:ascii="Times New Roman" w:hAnsi="Times New Roman"/>
          <w:sz w:val="28"/>
          <w:szCs w:val="28"/>
        </w:rPr>
        <w:tab/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В течение всего периода по переоборудованию библиотеки, сотрудниками велась работа по подготовке и проведению </w:t>
      </w:r>
      <w:proofErr w:type="spellStart"/>
      <w:r w:rsidRPr="00B57B18">
        <w:rPr>
          <w:rFonts w:ascii="Times New Roman" w:eastAsia="Calibri" w:hAnsi="Times New Roman"/>
          <w:sz w:val="28"/>
          <w:szCs w:val="28"/>
        </w:rPr>
        <w:t>онлайн-мероприятий</w:t>
      </w:r>
      <w:proofErr w:type="spellEnd"/>
      <w:r w:rsidRPr="00B57B18">
        <w:rPr>
          <w:rFonts w:ascii="Times New Roman" w:eastAsia="Calibri" w:hAnsi="Times New Roman"/>
          <w:sz w:val="28"/>
          <w:szCs w:val="28"/>
        </w:rPr>
        <w:t>.</w:t>
      </w:r>
    </w:p>
    <w:p w:rsidR="00B57B18" w:rsidRDefault="00B57B18" w:rsidP="00B57B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7B18">
        <w:rPr>
          <w:color w:val="333333"/>
          <w:sz w:val="28"/>
          <w:szCs w:val="28"/>
        </w:rPr>
        <w:t>Модернизация «взрослой» части поселенческой библиотеки должна быть реализована в году текущем.</w:t>
      </w:r>
    </w:p>
    <w:p w:rsidR="00B57B18" w:rsidRDefault="00B57B18" w:rsidP="00B57B1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57B18" w:rsidRPr="00B57B18" w:rsidRDefault="00B57B18" w:rsidP="00B57B1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B57B18">
        <w:rPr>
          <w:rFonts w:eastAsia="Calibri"/>
          <w:b/>
          <w:sz w:val="28"/>
          <w:szCs w:val="28"/>
        </w:rPr>
        <w:t xml:space="preserve">СЛАЙД36: 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Ежегодно в муниципальной программе «Организация спортивно-массовой и физкультурно-оздоровительной работы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»п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>ланируются средства на проведение спортивных мероприятий.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В 2021 году были организованы и проведены: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-День лыжника «Первомайская лыжня»;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- областные соревнования по лыжным гонкам на призы администрации поселка;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 xml:space="preserve">-спортивный турнир «Праздник мяча», посвященный памяти </w:t>
      </w:r>
      <w:proofErr w:type="spellStart"/>
      <w:r w:rsidRPr="00B57B18">
        <w:rPr>
          <w:rFonts w:ascii="Times New Roman" w:eastAsia="Times New Roman" w:hAnsi="Times New Roman"/>
          <w:sz w:val="28"/>
          <w:szCs w:val="28"/>
        </w:rPr>
        <w:t>В.В.Кудрицкого</w:t>
      </w:r>
      <w:proofErr w:type="spellEnd"/>
      <w:r w:rsidRPr="00B57B18">
        <w:rPr>
          <w:rFonts w:ascii="Times New Roman" w:eastAsia="Times New Roman" w:hAnsi="Times New Roman"/>
          <w:sz w:val="28"/>
          <w:szCs w:val="28"/>
        </w:rPr>
        <w:t>;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-спортивный праздник, приуроченный к празднованию Дня Поселка;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-открытое первенство по мини-футболу среди школьников;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-легкоатлетические старты;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-соревнования по плаванию среди учащихся.</w:t>
      </w:r>
    </w:p>
    <w:p w:rsidR="00B57B18" w:rsidRPr="00B57B18" w:rsidRDefault="00B57B18" w:rsidP="00B57B18">
      <w:pPr>
        <w:suppressAutoHyphens/>
        <w:snapToGri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 xml:space="preserve">В августе 2021 года сборная команда МО приняла  участие в Спартакиаде Щекинского района, посвященной Дню физкультурника, </w:t>
      </w:r>
      <w:proofErr w:type="spellStart"/>
      <w:r w:rsidRPr="00B57B18">
        <w:rPr>
          <w:rFonts w:ascii="Times New Roman" w:eastAsia="Times New Roman" w:hAnsi="Times New Roman"/>
          <w:sz w:val="28"/>
          <w:szCs w:val="28"/>
        </w:rPr>
        <w:t>где</w:t>
      </w:r>
      <w:proofErr w:type="gramStart"/>
      <w:r w:rsidRPr="00B57B18">
        <w:rPr>
          <w:rFonts w:ascii="Times New Roman" w:eastAsia="Times New Roman" w:hAnsi="Times New Roman"/>
          <w:sz w:val="28"/>
          <w:szCs w:val="28"/>
        </w:rPr>
        <w:t>,с</w:t>
      </w:r>
      <w:proofErr w:type="spellEnd"/>
      <w:proofErr w:type="gramEnd"/>
      <w:r w:rsidRPr="00B57B18">
        <w:rPr>
          <w:rFonts w:ascii="Times New Roman" w:eastAsia="Times New Roman" w:hAnsi="Times New Roman"/>
          <w:sz w:val="28"/>
          <w:szCs w:val="28"/>
        </w:rPr>
        <w:t xml:space="preserve"> большим преимуществом, традиционно заняла 1-ое место.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 xml:space="preserve">Для любителей «северной ходьбы», в поселке Первомайский, при поддержке администрации, с октября 2021 года организованы бесплатные занятия. 11 </w:t>
      </w:r>
      <w:r w:rsidRPr="00B57B18">
        <w:rPr>
          <w:rFonts w:ascii="Times New Roman" w:eastAsia="Times New Roman" w:hAnsi="Times New Roman"/>
          <w:sz w:val="28"/>
          <w:szCs w:val="28"/>
        </w:rPr>
        <w:lastRenderedPageBreak/>
        <w:t>декабря любители «северной ходьбы» приняли участие в спортивном празднике «Навстречу Новому году», который проводила Тульская областная федерация Северной ходьбы в парке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</w:rPr>
        <w:t>им.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</w:rPr>
        <w:t>П.П.Белоусова. Лучший результат среди женщин в массовом старте на дистанции 1 км показала представительница нашего МО Аникеева Л.В.</w:t>
      </w: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sz w:val="28"/>
          <w:szCs w:val="28"/>
        </w:rPr>
        <w:t>Для любителей лыжного спорта активисты общественной организации «Лыжный клуб «Старт», совместно с администрацией посёлка, провели субботники в лесопарковой зоне по очистке лыжной трассы от поваленных деревьев и валежника. Лыжная трасса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B18">
        <w:rPr>
          <w:rFonts w:ascii="Times New Roman" w:eastAsia="Times New Roman" w:hAnsi="Times New Roman"/>
          <w:sz w:val="28"/>
          <w:szCs w:val="28"/>
        </w:rPr>
        <w:t>готовилась ими на протяжении всего сезона.</w:t>
      </w:r>
    </w:p>
    <w:p w:rsid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Наши жители имеют возможность посещать различные секции Дома спорта «Юбилейный» и бассейн, а также заниматься на стадионе.</w:t>
      </w:r>
    </w:p>
    <w:p w:rsid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B18" w:rsidRPr="00B57B18" w:rsidRDefault="00B57B18" w:rsidP="00B57B18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b/>
          <w:sz w:val="28"/>
          <w:szCs w:val="28"/>
        </w:rPr>
        <w:t>СЛАЙД 37: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В 2021 году баскетбольной команде «Первомайский» (тренер Баранов Артем) была оказана спонсорская помощь, согласованная с </w:t>
      </w:r>
      <w:proofErr w:type="spellStart"/>
      <w:r w:rsidRPr="00B57B18">
        <w:rPr>
          <w:rFonts w:ascii="Times New Roman" w:eastAsia="Calibri" w:hAnsi="Times New Roman"/>
          <w:sz w:val="28"/>
          <w:szCs w:val="28"/>
        </w:rPr>
        <w:t>СД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,н</w:t>
      </w:r>
      <w:proofErr w:type="gramEnd"/>
      <w:r w:rsidRPr="00B57B18">
        <w:rPr>
          <w:rFonts w:ascii="Times New Roman" w:eastAsia="Calibri" w:hAnsi="Times New Roman"/>
          <w:sz w:val="28"/>
          <w:szCs w:val="28"/>
        </w:rPr>
        <w:t>а</w:t>
      </w:r>
      <w:proofErr w:type="spellEnd"/>
      <w:r w:rsidRPr="00B57B18">
        <w:rPr>
          <w:rFonts w:ascii="Times New Roman" w:eastAsia="Calibri" w:hAnsi="Times New Roman"/>
          <w:sz w:val="28"/>
          <w:szCs w:val="28"/>
        </w:rPr>
        <w:t xml:space="preserve"> приобретение спортивной формы, а  АО «</w:t>
      </w:r>
      <w:proofErr w:type="spellStart"/>
      <w:r w:rsidRPr="00B57B18">
        <w:rPr>
          <w:rFonts w:ascii="Times New Roman" w:eastAsia="Calibri" w:hAnsi="Times New Roman"/>
          <w:sz w:val="28"/>
          <w:szCs w:val="28"/>
        </w:rPr>
        <w:t>Щекиноазот</w:t>
      </w:r>
      <w:proofErr w:type="spellEnd"/>
      <w:r w:rsidRPr="00B57B18">
        <w:rPr>
          <w:rFonts w:ascii="Times New Roman" w:eastAsia="Calibri" w:hAnsi="Times New Roman"/>
          <w:sz w:val="28"/>
          <w:szCs w:val="28"/>
        </w:rPr>
        <w:t>» закупило для ребят мячи.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Всего же, на содержание спортивных объектов и проведение спортивных мероприятий израсходовано около 3,0 млн. рублей.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СЛАЙД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38: 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 xml:space="preserve">В летний период 2021 года на территории поселка было организовано трудоустройство несовершеннолетних граждан. На </w:t>
      </w:r>
      <w:proofErr w:type="spellStart"/>
      <w:r w:rsidRPr="00B57B18">
        <w:rPr>
          <w:rFonts w:ascii="Times New Roman" w:eastAsia="Calibri" w:hAnsi="Times New Roman"/>
          <w:sz w:val="28"/>
          <w:szCs w:val="28"/>
        </w:rPr>
        <w:t>софинансирование</w:t>
      </w:r>
      <w:proofErr w:type="spellEnd"/>
      <w:r w:rsidRPr="00B57B18">
        <w:rPr>
          <w:rFonts w:ascii="Times New Roman" w:eastAsia="Calibri" w:hAnsi="Times New Roman"/>
          <w:sz w:val="28"/>
          <w:szCs w:val="28"/>
        </w:rPr>
        <w:t xml:space="preserve"> их заработной платы из местного бюджета было выделено 98,9 тыс. рублей. На уборке и благоустройстве территории поселка трудились</w:t>
      </w:r>
      <w:r w:rsidRPr="00B57B18">
        <w:rPr>
          <w:rFonts w:ascii="Times New Roman" w:eastAsia="Calibri" w:hAnsi="Times New Roman"/>
          <w:color w:val="000000" w:themeColor="text1"/>
          <w:sz w:val="28"/>
          <w:szCs w:val="28"/>
        </w:rPr>
        <w:t>65</w:t>
      </w:r>
      <w:r w:rsidRPr="00B57B18">
        <w:rPr>
          <w:rFonts w:ascii="Times New Roman" w:eastAsia="Calibri" w:hAnsi="Times New Roman"/>
          <w:sz w:val="28"/>
          <w:szCs w:val="28"/>
        </w:rPr>
        <w:t>школьников.</w:t>
      </w:r>
    </w:p>
    <w:p w:rsid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СЛАЙД 39: </w:t>
      </w:r>
    </w:p>
    <w:p w:rsidR="00B57B18" w:rsidRPr="00B57B18" w:rsidRDefault="00B57B18" w:rsidP="00B57B18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eastAsia="Calibri" w:hAnsi="Times New Roman"/>
          <w:sz w:val="28"/>
          <w:szCs w:val="28"/>
        </w:rPr>
        <w:t>Из бюджета МО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eastAsia="Calibri" w:hAnsi="Times New Roman"/>
          <w:sz w:val="28"/>
          <w:szCs w:val="28"/>
        </w:rPr>
        <w:t>р.п.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57B18">
        <w:rPr>
          <w:rFonts w:ascii="Times New Roman" w:eastAsia="Calibri" w:hAnsi="Times New Roman"/>
          <w:sz w:val="28"/>
          <w:szCs w:val="28"/>
        </w:rPr>
        <w:t>Первомайский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ежегодно производится выплата материнского (семейного) капитала за новорожденных, семьям, зарегистрированным на территории поселка. В</w:t>
      </w:r>
      <w:r w:rsidRPr="00B57B18">
        <w:rPr>
          <w:rFonts w:ascii="Times New Roman" w:eastAsia="Calibri" w:hAnsi="Times New Roman"/>
          <w:sz w:val="28"/>
          <w:szCs w:val="28"/>
        </w:rPr>
        <w:t xml:space="preserve"> 2021 году произведены выплаты 3-м обратившимся семьям, в размере по 5 тыс. рублей каждому.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СЛАЙД40: 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Согласно Решения</w:t>
      </w:r>
      <w:proofErr w:type="gram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Собрания депутатов ежегодно оказывается социальная поддержка участникам и ветеранам ВОВ, гражданам пенсионного возраста, проживающим на нашей территории, в части предоставления льгот на посещение бани. </w:t>
      </w:r>
      <w:r w:rsidRPr="00B57B18">
        <w:rPr>
          <w:rFonts w:ascii="Times New Roman" w:eastAsia="Calibri" w:hAnsi="Times New Roman"/>
          <w:sz w:val="28"/>
          <w:szCs w:val="28"/>
        </w:rPr>
        <w:t xml:space="preserve">По итогам отчетного года на субсидирование данной услуги </w:t>
      </w:r>
      <w:r w:rsidRPr="00B57B18">
        <w:rPr>
          <w:rFonts w:ascii="Times New Roman" w:eastAsia="Times New Roman" w:hAnsi="Times New Roman"/>
          <w:bCs/>
          <w:sz w:val="28"/>
          <w:szCs w:val="28"/>
        </w:rPr>
        <w:t>из бюджета муниципального образования было выделено</w:t>
      </w:r>
      <w:r w:rsidRPr="00B57B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500тысяч</w:t>
      </w:r>
      <w:r w:rsidRPr="00B57B18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B57B18" w:rsidRDefault="00B57B18" w:rsidP="00B57B1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B57B18" w:rsidRPr="00B57B18" w:rsidRDefault="00B57B18" w:rsidP="00B57B1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B57B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СЛАЙД 41: </w:t>
      </w:r>
    </w:p>
    <w:p w:rsidR="00B57B18" w:rsidRPr="00B57B18" w:rsidRDefault="00B57B18" w:rsidP="00B57B18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eastAsia="Times New Roman" w:hAnsi="Times New Roman"/>
          <w:bCs/>
          <w:sz w:val="28"/>
          <w:szCs w:val="28"/>
        </w:rPr>
        <w:t>В 2021 году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в администрацию МО р.п</w:t>
      </w:r>
      <w:proofErr w:type="gramStart"/>
      <w:r w:rsidRPr="00B57B18">
        <w:rPr>
          <w:rFonts w:ascii="Times New Roman" w:hAnsi="Times New Roman"/>
          <w:sz w:val="28"/>
          <w:szCs w:val="28"/>
        </w:rPr>
        <w:t>.П</w:t>
      </w:r>
      <w:proofErr w:type="gramEnd"/>
      <w:r w:rsidRPr="00B57B18">
        <w:rPr>
          <w:rFonts w:ascii="Times New Roman" w:hAnsi="Times New Roman"/>
          <w:sz w:val="28"/>
          <w:szCs w:val="28"/>
        </w:rPr>
        <w:t xml:space="preserve">ервомайский поступило </w:t>
      </w:r>
    </w:p>
    <w:p w:rsidR="00B57B18" w:rsidRPr="00B57B18" w:rsidRDefault="00B57B18" w:rsidP="00B57B18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666 обращений, из них: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-151 письменное;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- 22 человека 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>мной на личном приёме;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lastRenderedPageBreak/>
        <w:t>- по «Телефону доверия» обратилось266 человек;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 по электронной почте получено 37 обращений;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- 190 запросов поступило из администрации Щекинского района, прокуратуры и других организаций.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Ежегодно основную массу обращений, от общего числа, составляют обращения по вопросам жилищно-коммунального хозяйства.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В результате рассмотрения обращений граждан, 49% из них решено положительно (в том числе, 10% - с выходом на место), по 43% обращений даны разъяснения, на 9 обращений граждан дан отрицательный ответ.</w:t>
      </w:r>
    </w:p>
    <w:p w:rsidR="00B57B18" w:rsidRDefault="00B57B18" w:rsidP="00B57B18">
      <w:pPr>
        <w:spacing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57B18" w:rsidRDefault="00B57B18" w:rsidP="00EA659C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СЛАЙД 42: </w:t>
      </w:r>
    </w:p>
    <w:p w:rsidR="00B57B18" w:rsidRDefault="00B57B18" w:rsidP="00EA65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7B18">
        <w:rPr>
          <w:rFonts w:ascii="Times New Roman" w:hAnsi="Times New Roman"/>
          <w:sz w:val="28"/>
          <w:szCs w:val="28"/>
        </w:rPr>
        <w:t>За отчетный год мною проведено 48 встреч с активистами,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57B18">
        <w:rPr>
          <w:rFonts w:ascii="Times New Roman" w:hAnsi="Times New Roman"/>
          <w:sz w:val="28"/>
          <w:szCs w:val="28"/>
        </w:rPr>
        <w:t xml:space="preserve">представителями общественных организаций и жителями поселка по обсуждению текущих вопросов жизнеобеспечения поселения, ознакомлению и обсуждению исполнения мероприятий по благоустройству, в том числе по участию в </w:t>
      </w:r>
      <w:r w:rsidRPr="00B57B18">
        <w:rPr>
          <w:rFonts w:ascii="Times New Roman" w:eastAsia="Calibri" w:hAnsi="Times New Roman"/>
          <w:sz w:val="28"/>
          <w:szCs w:val="28"/>
        </w:rPr>
        <w:t>проекте Единой России «Формирование современной городской среды».</w:t>
      </w:r>
    </w:p>
    <w:p w:rsidR="00B57B18" w:rsidRPr="00B57B18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СЛАЙД43: </w:t>
      </w:r>
    </w:p>
    <w:p w:rsidR="00B57B18" w:rsidRPr="00B57B18" w:rsidRDefault="00B57B18" w:rsidP="00B57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По итогам года хочу сказать большое спасибо всем (жителям, депутатам, общественным организациям, работникам администрации и подведомственных организаций) за взаимодействие!</w:t>
      </w:r>
    </w:p>
    <w:p w:rsidR="00B57B18" w:rsidRPr="00B57B18" w:rsidRDefault="00B57B18" w:rsidP="00B57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Несмотря на непростой </w:t>
      </w:r>
      <w:proofErr w:type="spellStart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пандемийный</w:t>
      </w:r>
      <w:proofErr w:type="spellEnd"/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единая командная работа дала ощутимый результат.</w:t>
      </w:r>
    </w:p>
    <w:p w:rsidR="00B57B18" w:rsidRPr="00B57B18" w:rsidRDefault="00B57B18" w:rsidP="00B57B1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B18">
        <w:rPr>
          <w:rFonts w:ascii="Times New Roman" w:eastAsia="Times New Roman" w:hAnsi="Times New Roman"/>
          <w:sz w:val="28"/>
          <w:szCs w:val="28"/>
          <w:lang w:eastAsia="ar-SA"/>
        </w:rPr>
        <w:t>Всем спасибо!</w:t>
      </w:r>
    </w:p>
    <w:p w:rsidR="00B57B18" w:rsidRDefault="00B57B18" w:rsidP="00B57B18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57B18" w:rsidRPr="00B57B18" w:rsidRDefault="00B57B18" w:rsidP="00B57B18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7B1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Слайд № 44</w:t>
      </w:r>
    </w:p>
    <w:p w:rsidR="00B57B18" w:rsidRPr="002C6BD7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B57B18" w:rsidRPr="002C6BD7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B57B18" w:rsidRPr="002C6BD7" w:rsidRDefault="00B57B18" w:rsidP="00B57B1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B57B18" w:rsidRPr="00404A86" w:rsidRDefault="00B57B18" w:rsidP="00D54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A57" w:rsidRDefault="00D51A57"/>
    <w:sectPr w:rsidR="00D51A57" w:rsidSect="0086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4232"/>
    <w:rsid w:val="006F4820"/>
    <w:rsid w:val="00831C72"/>
    <w:rsid w:val="00861569"/>
    <w:rsid w:val="00B57B18"/>
    <w:rsid w:val="00CF2877"/>
    <w:rsid w:val="00D51A57"/>
    <w:rsid w:val="00D54232"/>
    <w:rsid w:val="00EA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2022-03-29T08:15:00Z</cp:lastPrinted>
  <dcterms:created xsi:type="dcterms:W3CDTF">2022-03-18T06:53:00Z</dcterms:created>
  <dcterms:modified xsi:type="dcterms:W3CDTF">2022-03-29T08:18:00Z</dcterms:modified>
</cp:coreProperties>
</file>