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A41BD4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     » апреля</w:t>
      </w:r>
      <w:r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поселок Первомайский </w:t>
      </w:r>
      <w:proofErr w:type="spellStart"/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Щёкинского</w:t>
      </w:r>
      <w:proofErr w:type="spellEnd"/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proofErr w:type="gramStart"/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6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</w:t>
      </w:r>
      <w:proofErr w:type="gramEnd"/>
      <w:r w:rsidRPr="00EF3FC2">
        <w:rPr>
          <w:sz w:val="28"/>
          <w:szCs w:val="28"/>
        </w:rPr>
        <w:t xml:space="preserve"> р.п. Первомайский </w:t>
      </w:r>
      <w:proofErr w:type="spellStart"/>
      <w:r w:rsidRPr="00EF3FC2">
        <w:rPr>
          <w:sz w:val="28"/>
          <w:szCs w:val="28"/>
        </w:rPr>
        <w:t>Щекинского</w:t>
      </w:r>
      <w:proofErr w:type="spellEnd"/>
      <w:r w:rsidRPr="00EF3FC2">
        <w:rPr>
          <w:sz w:val="28"/>
          <w:szCs w:val="28"/>
        </w:rPr>
        <w:t xml:space="preserve">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 xml:space="preserve">р.п. </w:t>
      </w:r>
      <w:proofErr w:type="gramStart"/>
      <w:r w:rsidRPr="00EF3FC2">
        <w:rPr>
          <w:sz w:val="28"/>
          <w:szCs w:val="28"/>
        </w:rPr>
        <w:t>Первомайский</w:t>
      </w:r>
      <w:proofErr w:type="gramEnd"/>
      <w:r w:rsidRPr="00EF3FC2">
        <w:rPr>
          <w:sz w:val="28"/>
          <w:szCs w:val="28"/>
        </w:rPr>
        <w:t xml:space="preserve"> </w:t>
      </w:r>
      <w:proofErr w:type="spellStart"/>
      <w:r w:rsidRPr="00EF3FC2">
        <w:rPr>
          <w:sz w:val="28"/>
          <w:szCs w:val="28"/>
        </w:rPr>
        <w:t>Щекинского</w:t>
      </w:r>
      <w:proofErr w:type="spellEnd"/>
      <w:r w:rsidRPr="00EF3FC2">
        <w:rPr>
          <w:sz w:val="28"/>
          <w:szCs w:val="28"/>
        </w:rPr>
        <w:t xml:space="preserve"> района РЕШИЛО: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изменения в Приложение к решению Собрания депутатов муниципального образования рабочий поселок Первомайский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Щекинского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от 24.06.2014 №64-321 «Об утверждении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 поселок Первомайский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Щёкинского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Первомайский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Щекинского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Первомайский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Щекинского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Решение вступает в силу со дня его официального опубликования.</w:t>
      </w:r>
    </w:p>
    <w:p w:rsidR="00A41BD4" w:rsidRPr="00EF3FC2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6"/>
        <w:gridCol w:w="3259"/>
      </w:tblGrid>
      <w:tr w:rsidR="00A41BD4" w:rsidRPr="00EF3FC2" w:rsidTr="00A41BD4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EF3F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EF3FC2" w:rsidRDefault="00EF3FC2" w:rsidP="00EF3FC2">
            <w:pPr>
              <w:pStyle w:val="af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А.С.Гамбург</w:t>
            </w:r>
          </w:p>
        </w:tc>
      </w:tr>
    </w:tbl>
    <w:p w:rsidR="00EF3FC2" w:rsidRDefault="00EF3FC2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4026A7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апреля 2017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№_______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="00402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275E06">
              <w:rPr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sz w:val="28"/>
                <w:szCs w:val="28"/>
              </w:rPr>
              <w:t xml:space="preserve">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proofErr w:type="gramStart"/>
      <w:r w:rsidRPr="00275E06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рабочий поселок Первомайский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на 2013-2024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  <w:proofErr w:type="gramEnd"/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240"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Официальное наименование муниципального образования – муниципальное образование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proofErr w:type="gram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Муниципальное образование  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«Крым», и железнодорожная магистраль  Москва – Харьков (Симферополь),  включающие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 в сегмент транспортной системы России, характеризующийся значительным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243DB2" w:rsidRDefault="00243DB2" w:rsidP="00243DB2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8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4.2. Водоотведение</w:t>
      </w:r>
      <w:bookmarkEnd w:id="8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9" w:name="_Toc179131830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9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1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0"/>
    </w:p>
    <w:p w:rsidR="00243DB2" w:rsidRDefault="00243DB2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 xml:space="preserve">филиала ОАО «Газпром газораспределение Тула» в </w:t>
      </w:r>
      <w:proofErr w:type="gramStart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г</w:t>
      </w:r>
      <w:proofErr w:type="gramEnd"/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. Щекино.</w:t>
      </w:r>
      <w:r w:rsidR="00243DB2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79131832"/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4.5. Электроснабжение</w:t>
      </w:r>
      <w:bookmarkEnd w:id="11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ервомайский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0565D9" w:rsidRPr="00275E06" w:rsidRDefault="000565D9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275E06" w:rsidRDefault="00275E06" w:rsidP="00275E06">
      <w:pPr>
        <w:ind w:firstLine="5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0565D9" w:rsidRPr="00275E06" w:rsidRDefault="000565D9" w:rsidP="00275E06">
      <w:pPr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сточных вод </w:t>
      </w:r>
      <w:proofErr w:type="gram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 w:rsidRPr="00275E06">
        <w:rPr>
          <w:rFonts w:ascii="Times New Roman" w:hAnsi="Times New Roman" w:cs="Times New Roman"/>
          <w:color w:val="000000"/>
          <w:sz w:val="28"/>
          <w:szCs w:val="28"/>
        </w:rPr>
        <w:t>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Теплосети проложены как в надземном, так и в подземном исполнении. Часть теплосетей имеет большой срок эксплуатации и требует их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0565D9" w:rsidRPr="00275E06" w:rsidRDefault="000565D9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0565D9" w:rsidRPr="00275E06" w:rsidRDefault="000565D9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и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(См п.5.1.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2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proofErr w:type="gram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3" w:name="_Toc226889273"/>
      <w:bookmarkStart w:id="14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Реконструкция тепловых сетей на территории МО р.п.Первомайский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3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7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формирования технических заданий утверждается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МО р.п.Первомайский и администрации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задания, разрабатываемые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0565D9" w:rsidRPr="00275E06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</w:t>
      </w:r>
      <w:r w:rsidRPr="00275E06">
        <w:rPr>
          <w:sz w:val="28"/>
          <w:szCs w:val="28"/>
        </w:rPr>
        <w:lastRenderedPageBreak/>
        <w:t>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Администрации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</w:t>
      </w:r>
      <w:bookmarkStart w:id="16" w:name="_GoBack"/>
      <w:bookmarkEnd w:id="16"/>
      <w:r w:rsidR="006C7171" w:rsidRPr="00275E06">
        <w:rPr>
          <w:sz w:val="28"/>
          <w:szCs w:val="28"/>
        </w:rPr>
        <w:t>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proofErr w:type="spellStart"/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proofErr w:type="spellEnd"/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5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4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A1ECF"/>
    <w:rsid w:val="004A43B9"/>
    <w:rsid w:val="004B4CDD"/>
    <w:rsid w:val="00537877"/>
    <w:rsid w:val="0056673D"/>
    <w:rsid w:val="005956CF"/>
    <w:rsid w:val="005E4C10"/>
    <w:rsid w:val="00611A80"/>
    <w:rsid w:val="00675C2A"/>
    <w:rsid w:val="0069794B"/>
    <w:rsid w:val="006A6CA2"/>
    <w:rsid w:val="006B7B8C"/>
    <w:rsid w:val="006C7171"/>
    <w:rsid w:val="006D1DB9"/>
    <w:rsid w:val="006D3DD8"/>
    <w:rsid w:val="00727619"/>
    <w:rsid w:val="007624FC"/>
    <w:rsid w:val="00771DB0"/>
    <w:rsid w:val="007B17F9"/>
    <w:rsid w:val="007D4CF7"/>
    <w:rsid w:val="00893E7D"/>
    <w:rsid w:val="008A2262"/>
    <w:rsid w:val="008C033C"/>
    <w:rsid w:val="00910BF8"/>
    <w:rsid w:val="00913847"/>
    <w:rsid w:val="00972A7D"/>
    <w:rsid w:val="009A47C8"/>
    <w:rsid w:val="009F4BF4"/>
    <w:rsid w:val="00A345C4"/>
    <w:rsid w:val="00A41BD4"/>
    <w:rsid w:val="00A853AD"/>
    <w:rsid w:val="00AF3F70"/>
    <w:rsid w:val="00BE008E"/>
    <w:rsid w:val="00C0090C"/>
    <w:rsid w:val="00E0596F"/>
    <w:rsid w:val="00E21D84"/>
    <w:rsid w:val="00E357EF"/>
    <w:rsid w:val="00E52ED5"/>
    <w:rsid w:val="00E9525E"/>
    <w:rsid w:val="00EE1A50"/>
    <w:rsid w:val="00EF3FC2"/>
    <w:rsid w:val="00F5007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semiHidden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semiHidden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E04EF700D2BB3D3A509494C460C803AF4440C6AE0814B58B9E080DBD51960EA4B4D44A8912F101BCD52CtER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Директор</dc:creator>
  <cp:keywords/>
  <dc:description>Документ экспортирован из системы ГАРАНТ</dc:description>
  <cp:lastModifiedBy>Переславская</cp:lastModifiedBy>
  <cp:revision>5</cp:revision>
  <cp:lastPrinted>2014-05-28T12:06:00Z</cp:lastPrinted>
  <dcterms:created xsi:type="dcterms:W3CDTF">2017-04-13T07:57:00Z</dcterms:created>
  <dcterms:modified xsi:type="dcterms:W3CDTF">2017-04-13T14:03:00Z</dcterms:modified>
</cp:coreProperties>
</file>